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283"/>
      </w:tblGrid>
      <w:tr w:rsidR="00666DC7" w:rsidTr="000F6928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6DC7" w:rsidRDefault="00666DC7" w:rsidP="000F6928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C7" w:rsidRDefault="00666DC7" w:rsidP="000F6928"/>
          <w:p w:rsidR="00666DC7" w:rsidRDefault="00666DC7" w:rsidP="000F6928">
            <w:pPr>
              <w:jc w:val="center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6DC7" w:rsidRDefault="00666DC7" w:rsidP="000F6928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66DC7" w:rsidRDefault="00666DC7" w:rsidP="000F6928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66DC7" w:rsidRDefault="00666DC7" w:rsidP="00666DC7">
      <w:pPr>
        <w:tabs>
          <w:tab w:val="left" w:pos="6774"/>
        </w:tabs>
        <w:rPr>
          <w:b/>
          <w:bCs/>
          <w:sz w:val="28"/>
          <w:szCs w:val="28"/>
        </w:rPr>
      </w:pPr>
    </w:p>
    <w:p w:rsidR="00666DC7" w:rsidRDefault="00666DC7" w:rsidP="00666DC7">
      <w:pPr>
        <w:pStyle w:val="a5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      ПОСТАНОВЛЕНИЕ </w:t>
      </w:r>
    </w:p>
    <w:p w:rsidR="00666DC7" w:rsidRDefault="00666DC7" w:rsidP="00666DC7">
      <w:pPr>
        <w:pStyle w:val="a5"/>
        <w:tabs>
          <w:tab w:val="left" w:pos="2025"/>
        </w:tabs>
        <w:rPr>
          <w:b/>
          <w:sz w:val="28"/>
          <w:szCs w:val="28"/>
        </w:rPr>
      </w:pPr>
    </w:p>
    <w:p w:rsidR="00666DC7" w:rsidRDefault="00666DC7" w:rsidP="00666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 апрель         2022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    № 17                     04 апреля        2022   г.</w:t>
      </w:r>
    </w:p>
    <w:p w:rsidR="006842FE" w:rsidRDefault="00666DC7" w:rsidP="00684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2FE" w:rsidRDefault="006842FE" w:rsidP="00684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A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продаже</w:t>
      </w:r>
      <w:r w:rsidRPr="009E34A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(отчуждении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E2D12">
        <w:rPr>
          <w:rFonts w:ascii="Times New Roman" w:hAnsi="Times New Roman" w:cs="Times New Roman"/>
          <w:b/>
          <w:sz w:val="24"/>
          <w:szCs w:val="24"/>
        </w:rPr>
        <w:t xml:space="preserve">утилизированного имущества – </w:t>
      </w:r>
      <w:r w:rsidR="00666DC7">
        <w:rPr>
          <w:rFonts w:ascii="Times New Roman" w:hAnsi="Times New Roman" w:cs="Times New Roman"/>
          <w:b/>
          <w:sz w:val="24"/>
          <w:szCs w:val="24"/>
        </w:rPr>
        <w:t>здание детского сада</w:t>
      </w:r>
      <w:r w:rsidRPr="007E2D12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666DC7">
        <w:rPr>
          <w:rFonts w:ascii="Times New Roman" w:hAnsi="Times New Roman" w:cs="Times New Roman"/>
          <w:b/>
          <w:sz w:val="24"/>
          <w:szCs w:val="24"/>
        </w:rPr>
        <w:t xml:space="preserve">618,3 </w:t>
      </w:r>
      <w:r w:rsidRPr="007E2D12">
        <w:rPr>
          <w:rFonts w:ascii="Times New Roman" w:hAnsi="Times New Roman" w:cs="Times New Roman"/>
          <w:b/>
          <w:sz w:val="24"/>
          <w:szCs w:val="24"/>
        </w:rPr>
        <w:t xml:space="preserve"> кв.м.  по адресу: </w:t>
      </w:r>
      <w:proofErr w:type="gramStart"/>
      <w:r w:rsidRPr="007E2D1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E2D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66DC7">
        <w:rPr>
          <w:rFonts w:ascii="Times New Roman" w:hAnsi="Times New Roman" w:cs="Times New Roman"/>
          <w:b/>
          <w:sz w:val="24"/>
          <w:szCs w:val="24"/>
        </w:rPr>
        <w:t>Крымский</w:t>
      </w:r>
      <w:proofErr w:type="gramEnd"/>
      <w:r w:rsidRPr="007E2D1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666DC7">
        <w:rPr>
          <w:rFonts w:ascii="Times New Roman" w:hAnsi="Times New Roman" w:cs="Times New Roman"/>
          <w:b/>
          <w:sz w:val="24"/>
          <w:szCs w:val="24"/>
        </w:rPr>
        <w:t xml:space="preserve">Ленина д.21 </w:t>
      </w:r>
      <w:r w:rsidRPr="007E2D12">
        <w:rPr>
          <w:rFonts w:ascii="Times New Roman" w:hAnsi="Times New Roman" w:cs="Times New Roman"/>
          <w:b/>
          <w:sz w:val="24"/>
          <w:szCs w:val="24"/>
        </w:rPr>
        <w:t>,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закрепленного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 на праве оперативного управления за </w:t>
      </w:r>
      <w:proofErr w:type="spellStart"/>
      <w:r w:rsidRPr="009E34AF">
        <w:rPr>
          <w:rFonts w:ascii="Times New Roman" w:hAnsi="Times New Roman" w:cs="Times New Roman"/>
          <w:b/>
          <w:sz w:val="24"/>
          <w:szCs w:val="24"/>
        </w:rPr>
        <w:t>сельск</w:t>
      </w:r>
      <w:proofErr w:type="spellEnd"/>
      <w:r w:rsidRPr="009E34AF">
        <w:rPr>
          <w:rFonts w:ascii="Times New Roman" w:hAnsi="Times New Roman" w:cs="Times New Roman"/>
          <w:b/>
          <w:sz w:val="24"/>
          <w:szCs w:val="24"/>
          <w:lang w:val="ba-RU"/>
        </w:rPr>
        <w:t>им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4AF">
        <w:rPr>
          <w:rFonts w:ascii="Times New Roman" w:hAnsi="Times New Roman" w:cs="Times New Roman"/>
          <w:b/>
          <w:sz w:val="24"/>
          <w:szCs w:val="24"/>
        </w:rPr>
        <w:t>поселени</w:t>
      </w:r>
      <w:proofErr w:type="spellEnd"/>
      <w:r w:rsidRPr="009E34AF">
        <w:rPr>
          <w:rFonts w:ascii="Times New Roman" w:hAnsi="Times New Roman" w:cs="Times New Roman"/>
          <w:b/>
          <w:sz w:val="24"/>
          <w:szCs w:val="24"/>
          <w:lang w:val="ba-RU"/>
        </w:rPr>
        <w:t>ем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DC7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66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AF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9E34AF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9E34A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6842FE" w:rsidRDefault="006842FE" w:rsidP="006842FE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Pr="00E766F6">
        <w:rPr>
          <w:rFonts w:ascii="Times New Roman" w:hAnsi="Times New Roman" w:cs="Times New Roman"/>
          <w:sz w:val="24"/>
          <w:szCs w:val="24"/>
        </w:rPr>
        <w:t xml:space="preserve"> о порядке реализации, обмена основных фондов, принадлежащих на праве оперативного управления юридическим лицам,  деятельность которых полностью или частично финансируется за счет средств бюджета сельского поселения  </w:t>
      </w:r>
      <w:proofErr w:type="spellStart"/>
      <w:r w:rsidR="00666DC7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666DC7">
        <w:rPr>
          <w:rFonts w:ascii="Times New Roman" w:hAnsi="Times New Roman" w:cs="Times New Roman"/>
          <w:sz w:val="24"/>
          <w:szCs w:val="24"/>
        </w:rPr>
        <w:t xml:space="preserve"> </w:t>
      </w:r>
      <w:r w:rsidRPr="00E766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 Республики</w:t>
      </w:r>
      <w:r w:rsidRPr="001B6B3F">
        <w:rPr>
          <w:b/>
        </w:rPr>
        <w:t xml:space="preserve"> </w:t>
      </w:r>
      <w:r w:rsidRPr="00D91B89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D9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091968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09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 от </w:t>
      </w:r>
      <w:r w:rsidR="00091968">
        <w:rPr>
          <w:rFonts w:ascii="Times New Roman" w:hAnsi="Times New Roman" w:cs="Times New Roman"/>
          <w:sz w:val="24"/>
          <w:szCs w:val="24"/>
        </w:rPr>
        <w:t xml:space="preserve">20.08.2010 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66DC7">
        <w:rPr>
          <w:rFonts w:ascii="Times New Roman" w:hAnsi="Times New Roman" w:cs="Times New Roman"/>
          <w:sz w:val="24"/>
          <w:szCs w:val="24"/>
        </w:rPr>
        <w:t xml:space="preserve"> </w:t>
      </w:r>
      <w:r w:rsidR="00091968">
        <w:rPr>
          <w:rFonts w:ascii="Times New Roman" w:hAnsi="Times New Roman" w:cs="Times New Roman"/>
          <w:sz w:val="24"/>
          <w:szCs w:val="24"/>
        </w:rPr>
        <w:t>97</w:t>
      </w:r>
      <w:proofErr w:type="gramStart"/>
      <w:r w:rsidR="0009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2D12">
        <w:t xml:space="preserve"> </w:t>
      </w:r>
    </w:p>
    <w:p w:rsidR="006842FE" w:rsidRPr="007E2D12" w:rsidRDefault="006842FE" w:rsidP="006842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12">
        <w:rPr>
          <w:rFonts w:ascii="Times New Roman" w:hAnsi="Times New Roman" w:cs="Times New Roman"/>
          <w:sz w:val="24"/>
          <w:szCs w:val="24"/>
        </w:rPr>
        <w:t xml:space="preserve">Произвести реализацию (отчуждение) утилизированного имущества – </w:t>
      </w:r>
      <w:r w:rsidR="00091968">
        <w:rPr>
          <w:rFonts w:ascii="Times New Roman" w:hAnsi="Times New Roman" w:cs="Times New Roman"/>
          <w:sz w:val="24"/>
          <w:szCs w:val="24"/>
        </w:rPr>
        <w:t>здание детского сада</w:t>
      </w:r>
      <w:proofErr w:type="gramStart"/>
      <w:r w:rsidR="00091968">
        <w:rPr>
          <w:rFonts w:ascii="Times New Roman" w:hAnsi="Times New Roman" w:cs="Times New Roman"/>
          <w:sz w:val="24"/>
          <w:szCs w:val="24"/>
        </w:rPr>
        <w:t xml:space="preserve"> </w:t>
      </w:r>
      <w:r w:rsidRPr="007E2D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D1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91968">
        <w:rPr>
          <w:rFonts w:ascii="Times New Roman" w:hAnsi="Times New Roman" w:cs="Times New Roman"/>
          <w:sz w:val="24"/>
          <w:szCs w:val="24"/>
        </w:rPr>
        <w:t xml:space="preserve">618,3 </w:t>
      </w:r>
      <w:r w:rsidRPr="007E2D12">
        <w:rPr>
          <w:rFonts w:ascii="Times New Roman" w:hAnsi="Times New Roman" w:cs="Times New Roman"/>
          <w:sz w:val="24"/>
          <w:szCs w:val="24"/>
        </w:rPr>
        <w:t xml:space="preserve">кв.м.  по адресу: с. </w:t>
      </w:r>
      <w:r w:rsidR="00091968">
        <w:rPr>
          <w:rFonts w:ascii="Times New Roman" w:hAnsi="Times New Roman" w:cs="Times New Roman"/>
          <w:sz w:val="24"/>
          <w:szCs w:val="24"/>
        </w:rPr>
        <w:t>Крымский</w:t>
      </w:r>
      <w:r w:rsidRPr="007E2D12">
        <w:rPr>
          <w:rFonts w:ascii="Times New Roman" w:hAnsi="Times New Roman" w:cs="Times New Roman"/>
          <w:sz w:val="24"/>
          <w:szCs w:val="24"/>
        </w:rPr>
        <w:t xml:space="preserve">, ул. </w:t>
      </w:r>
      <w:r w:rsidR="00091968">
        <w:rPr>
          <w:rFonts w:ascii="Times New Roman" w:hAnsi="Times New Roman" w:cs="Times New Roman"/>
          <w:sz w:val="24"/>
          <w:szCs w:val="24"/>
        </w:rPr>
        <w:t>Ленина , д. 21</w:t>
      </w:r>
      <w:r w:rsidRPr="007E2D12">
        <w:rPr>
          <w:rFonts w:ascii="Times New Roman" w:hAnsi="Times New Roman" w:cs="Times New Roman"/>
          <w:sz w:val="24"/>
          <w:szCs w:val="24"/>
        </w:rPr>
        <w:t xml:space="preserve">, выработавшие установленные сроки службы (ресурс), не нашедшее применение (далее - имущество).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2D12">
        <w:rPr>
          <w:rFonts w:ascii="Times New Roman" w:hAnsi="Times New Roman" w:cs="Times New Roman"/>
          <w:sz w:val="24"/>
          <w:szCs w:val="24"/>
        </w:rPr>
        <w:t>меется возможность использования</w:t>
      </w:r>
      <w:r w:rsidRPr="00EA17FE">
        <w:rPr>
          <w:rFonts w:ascii="Times New Roman" w:hAnsi="Times New Roman" w:cs="Times New Roman"/>
          <w:sz w:val="24"/>
          <w:szCs w:val="24"/>
        </w:rPr>
        <w:t xml:space="preserve"> </w:t>
      </w:r>
      <w:r w:rsidRPr="007E2D12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х материалов</w:t>
      </w:r>
      <w:r w:rsidRPr="007E2D12">
        <w:rPr>
          <w:rFonts w:ascii="Times New Roman" w:hAnsi="Times New Roman" w:cs="Times New Roman"/>
          <w:sz w:val="24"/>
          <w:szCs w:val="24"/>
        </w:rPr>
        <w:t xml:space="preserve"> от разборки здания в виде стен и перегородок</w:t>
      </w:r>
      <w:proofErr w:type="gramStart"/>
      <w:r w:rsidRPr="007E2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2D12">
        <w:rPr>
          <w:rFonts w:ascii="Times New Roman" w:hAnsi="Times New Roman" w:cs="Times New Roman"/>
          <w:sz w:val="24"/>
          <w:szCs w:val="24"/>
        </w:rPr>
        <w:t xml:space="preserve"> </w:t>
      </w:r>
      <w:r w:rsidR="00091968" w:rsidRPr="00091968">
        <w:rPr>
          <w:rFonts w:ascii="Times New Roman" w:hAnsi="Times New Roman" w:cs="Times New Roman"/>
          <w:sz w:val="24"/>
          <w:szCs w:val="24"/>
        </w:rPr>
        <w:t>плит перекрытия</w:t>
      </w:r>
      <w:r w:rsidR="000919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842FE" w:rsidRDefault="006842FE" w:rsidP="006842F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 w:rsidR="00091968" w:rsidRDefault="006842FE" w:rsidP="0009196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12">
        <w:rPr>
          <w:rFonts w:ascii="Times New Roman" w:hAnsi="Times New Roman" w:cs="Times New Roman"/>
          <w:sz w:val="24"/>
          <w:szCs w:val="24"/>
        </w:rPr>
        <w:t>Цену подлежащего реализации имущества указанного в пункте 1 настоящего</w:t>
      </w:r>
      <w:r w:rsidR="0009196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proofErr w:type="gramStart"/>
      <w:r w:rsidR="00091968">
        <w:rPr>
          <w:rFonts w:ascii="Times New Roman" w:hAnsi="Times New Roman" w:cs="Times New Roman"/>
          <w:sz w:val="24"/>
          <w:szCs w:val="24"/>
        </w:rPr>
        <w:t xml:space="preserve"> </w:t>
      </w:r>
      <w:r w:rsidRPr="007E2D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D12">
        <w:rPr>
          <w:rFonts w:ascii="Times New Roman" w:hAnsi="Times New Roman" w:cs="Times New Roman"/>
          <w:sz w:val="24"/>
          <w:szCs w:val="24"/>
        </w:rPr>
        <w:t xml:space="preserve"> определенную согласно Отчету об определении рыночной стоимости выполненную оценщиком </w:t>
      </w:r>
      <w:proofErr w:type="spellStart"/>
      <w:r w:rsidRPr="007E2D12">
        <w:rPr>
          <w:rFonts w:ascii="Times New Roman" w:hAnsi="Times New Roman" w:cs="Times New Roman"/>
          <w:sz w:val="24"/>
          <w:szCs w:val="24"/>
        </w:rPr>
        <w:t>Абдрахмановым</w:t>
      </w:r>
      <w:proofErr w:type="spellEnd"/>
      <w:r w:rsidRPr="007E2D12">
        <w:rPr>
          <w:rFonts w:ascii="Times New Roman" w:hAnsi="Times New Roman" w:cs="Times New Roman"/>
          <w:sz w:val="24"/>
          <w:szCs w:val="24"/>
        </w:rPr>
        <w:t xml:space="preserve"> Р.Т. от </w:t>
      </w:r>
      <w:r w:rsidR="00091968">
        <w:rPr>
          <w:rFonts w:ascii="Times New Roman" w:hAnsi="Times New Roman" w:cs="Times New Roman"/>
          <w:sz w:val="24"/>
          <w:szCs w:val="24"/>
        </w:rPr>
        <w:t xml:space="preserve"> 09 марта 2022 года , № 22-139.</w:t>
      </w:r>
    </w:p>
    <w:p w:rsidR="006842FE" w:rsidRPr="00091968" w:rsidRDefault="00091968" w:rsidP="0009196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FE" w:rsidRPr="00091968">
        <w:rPr>
          <w:rFonts w:ascii="Times New Roman" w:hAnsi="Times New Roman" w:cs="Times New Roman"/>
          <w:sz w:val="24"/>
          <w:szCs w:val="24"/>
        </w:rPr>
        <w:t xml:space="preserve"> Форму, сроки и порядок внесения платежа – в наличной (безналичной) форме единовременно в течение десяти рабочих дней с момента заключения договора купли-продажи в валюте Российской Федерации (рублях).</w:t>
      </w:r>
    </w:p>
    <w:p w:rsidR="006842FE" w:rsidRPr="00091968" w:rsidRDefault="006842FE" w:rsidP="00091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968">
        <w:rPr>
          <w:rFonts w:ascii="Times New Roman" w:hAnsi="Times New Roman" w:cs="Times New Roman"/>
          <w:sz w:val="24"/>
          <w:szCs w:val="24"/>
        </w:rPr>
        <w:t>Расходы  по оплате услуг независимого оценщика по рыночной оценке реализуемого имущества возмещаются покупателем.</w:t>
      </w:r>
    </w:p>
    <w:p w:rsidR="00091968" w:rsidRPr="00091968" w:rsidRDefault="00091968" w:rsidP="00091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2FE" w:rsidRPr="00FE59EE" w:rsidRDefault="006842FE" w:rsidP="00091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968">
        <w:rPr>
          <w:rFonts w:ascii="Times New Roman" w:hAnsi="Times New Roman" w:cs="Times New Roman"/>
          <w:sz w:val="24"/>
          <w:szCs w:val="24"/>
        </w:rPr>
        <w:t xml:space="preserve">З.Я. Дунина. </w:t>
      </w:r>
    </w:p>
    <w:p w:rsidR="006842FE" w:rsidRDefault="006842FE" w:rsidP="006842FE"/>
    <w:p w:rsidR="00FE76D1" w:rsidRDefault="00091968" w:rsidP="00FE76D1">
      <w:r>
        <w:t xml:space="preserve"> </w:t>
      </w:r>
    </w:p>
    <w:p w:rsidR="00F56A4D" w:rsidRDefault="00F56A4D"/>
    <w:sectPr w:rsidR="00F56A4D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6D1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0D88"/>
    <w:rsid w:val="00077AD8"/>
    <w:rsid w:val="0008438A"/>
    <w:rsid w:val="0008489F"/>
    <w:rsid w:val="00084CE8"/>
    <w:rsid w:val="0009196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1535D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42F7"/>
    <w:rsid w:val="00335486"/>
    <w:rsid w:val="00341AAE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867DC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DC7"/>
    <w:rsid w:val="00666FAF"/>
    <w:rsid w:val="0066706C"/>
    <w:rsid w:val="006712D7"/>
    <w:rsid w:val="0067773E"/>
    <w:rsid w:val="006807F4"/>
    <w:rsid w:val="00680C13"/>
    <w:rsid w:val="00683A0E"/>
    <w:rsid w:val="006842F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C55D5"/>
    <w:rsid w:val="007D4139"/>
    <w:rsid w:val="007D44F6"/>
    <w:rsid w:val="007D49A0"/>
    <w:rsid w:val="007D6428"/>
    <w:rsid w:val="007E292D"/>
    <w:rsid w:val="007E2D12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C7483"/>
    <w:rsid w:val="009D2B3B"/>
    <w:rsid w:val="009D7475"/>
    <w:rsid w:val="009E11F2"/>
    <w:rsid w:val="009E1D44"/>
    <w:rsid w:val="009E202C"/>
    <w:rsid w:val="009E34AF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52AE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30D1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276D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05601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91B89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766F6"/>
    <w:rsid w:val="00E82DD5"/>
    <w:rsid w:val="00E9175E"/>
    <w:rsid w:val="00E91991"/>
    <w:rsid w:val="00E9729A"/>
    <w:rsid w:val="00EA17FE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E76D1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D1"/>
    <w:pPr>
      <w:ind w:left="720"/>
      <w:contextualSpacing/>
    </w:pPr>
  </w:style>
  <w:style w:type="character" w:customStyle="1" w:styleId="a4">
    <w:name w:val="Верхний колонтитул Знак"/>
    <w:link w:val="a5"/>
    <w:locked/>
    <w:rsid w:val="00666DC7"/>
    <w:rPr>
      <w:sz w:val="24"/>
      <w:szCs w:val="24"/>
    </w:rPr>
  </w:style>
  <w:style w:type="paragraph" w:styleId="a5">
    <w:name w:val="header"/>
    <w:basedOn w:val="a"/>
    <w:link w:val="a4"/>
    <w:rsid w:val="00666DC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666DC7"/>
  </w:style>
  <w:style w:type="paragraph" w:customStyle="1" w:styleId="NoSpacing">
    <w:name w:val="No Spacing"/>
    <w:rsid w:val="0066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2017-10-12T03:30:00Z</cp:lastPrinted>
  <dcterms:created xsi:type="dcterms:W3CDTF">2016-12-07T06:03:00Z</dcterms:created>
  <dcterms:modified xsi:type="dcterms:W3CDTF">2022-04-04T10:17:00Z</dcterms:modified>
</cp:coreProperties>
</file>